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MSCI NORTH AMERICA ESG CLIMATE NET ZERO AMBITION CTB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213800Q86MRUAJDQ7296</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The Sub-Fund seeks to promote the following environmental and social characteristics:</w:t>
        <w:cr/>
        <w:t>
</w:t>
        <w:cr/>
        <w:t xml:space="preserve">
1) reduction of carbon emission intensity; </w:t>
        <w:cr/>
        <w:t>
2) reduction in greenhouse gas emissions;</w:t>
        <w:cr/>
        <w:t>
3) reduction in the production of controversial and nuclear weapons; and</w:t>
        <w:cr/>
        <w:t xml:space="preserve">
4) reduction in environmental harm derived from oil sands, thermal coal and unconventional oil and gas business activities. </w:t>
        <w:cr/>
        <w:t>
</w:t>
        <w:cr/>
        <w:t xml:space="preserve">
The Sub-Fund promotes these environmental and social characteristics through replicating the MSCI North America ESG Broad CTB Select Index (the “Index”) which meets the minimum standards for EU Climate Transition Benchmarks (EU CTBs) under Regulation (EU) 2019/2089 amending Regulation (EU) 2016/1011 (the “Regulation”). The Regulation proposes the definitions of minimum standards for the methodology of any ‘EU Climate Transition’ benchmark indices that would be aligned with the objectives of the Paris Agreement.  The Index is selected and weighted to enhance its environmental and social sustainability by applying a range of environmental and social filters to the constituents of the MSCI North America Index (the “Parent Index”) to meet environmental targets and reduce carbon footprint, compared to the Parent Index as described in detail below. The Index methodology align with certain criteria such as:  </w:t>
        <w:cr/>
        <w:t xml:space="preserve">
- a minimum reduction in Greenhouse Gas (GHG) intensity relative to Parent Index of 30%; and </w:t>
        <w:cr/>
        <w:t xml:space="preserve">
- a minimum self-decarbonization rate of GHG emissions intensity in accordance with the trajectory implied by Intergovernmental Panel on Climate Change’s (IPCC) most ambitious 1.5ºC scenario, equating to at least 7% GHG intensity reduction on average per annum. </w:t>
        <w:cr/>
        <w:t>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https://www.msci.com/index-methodology</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https://www.msci.com/index-methodology</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