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Global Information Technology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213800GUG4M6SPEBIP04</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Information Technology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Information Technology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xml:space="preserve">
Amundi already considers specific Principle Adverse Impacts within its exclusion policy as part of Amundi’s Responsible Investment Policy. </w:t>
        <w:cr/>
        <w:t>
</w:t>
        <w:cr/>
        <w:t>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30%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30%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