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32E0E" w:rsidRPr="00C2259E" w:rsidP="00432E0E" w14:paraId="4D454DB6" w14:textId="77777777">
      <w:pPr>
        <w:ind w:left="-851" w:right="-851"/>
        <w:jc w:val="center"/>
        <w:rPr>
          <w:rFonts w:cstheme="minorHAnsi"/>
          <w:b/>
          <w:bCs/>
          <w:color w:val="FF0000"/>
          <w:sz w:val="24"/>
          <w:szCs w:val="24"/>
          <w:lang w:val="en-US"/>
        </w:rPr>
      </w:pPr>
      <w:bookmarkStart w:id="0" w:name="_Hlk121475070"/>
      <w:r w:rsidRPr="00C2259E">
        <w:rPr>
          <w:rFonts w:cstheme="minorHAnsi"/>
          <w:b/>
          <w:bCs/>
          <w:color w:val="FF0000"/>
          <w:sz w:val="24"/>
          <w:szCs w:val="24"/>
          <w:lang w:val="en-US"/>
        </w:rPr>
        <w:t xml:space="preserve">Website Product Disclosures further to art. 10(1) of the Sustainable Finance Disclosure Regulation for art. 8 sub-funds </w:t>
      </w:r>
    </w:p>
    <w:bookmarkEnd w:id="0"/>
    <w:p w:rsidR="001B13EB" w:rsidRPr="00C2259E"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7528F2" w:rsidP="00C15A78" w14:paraId="2B70FFDE" w14:textId="77777777">
            <w:pPr>
              <w:ind w:left="-851" w:right="-851"/>
              <w:jc w:val="both"/>
              <w:rPr>
                <w:lang w:val="en-US"/>
              </w:rPr>
            </w:pPr>
            <w:r w:rsidRPr="00C2259E">
              <w:rPr>
                <w:b/>
                <w:bCs/>
                <w:lang w:val="en-US"/>
              </w:rPr>
              <w:t xml:space="preserve">Product </w:t>
            </w:r>
            <w:r w:rsidRPr="00C2259E" w:rsidR="00C15A78">
              <w:rPr>
                <w:b/>
                <w:bCs/>
                <w:lang w:val="en-US"/>
              </w:rPr>
              <w:t>N</w:t>
            </w:r>
            <w:r w:rsidRPr="00C2259E">
              <w:rPr>
                <w:b/>
                <w:bCs/>
                <w:lang w:val="en-US"/>
              </w:rPr>
              <w:t>ame</w:t>
            </w:r>
            <w:r w:rsidRPr="00C2259E">
              <w:rPr>
                <w:lang w:val="en-US"/>
              </w:rPr>
              <w:t xml:space="preserve">: </w:t>
            </w:r>
          </w:p>
          <w:p w:rsidR="005E1D0B" w:rsidRPr="00C2259E" w:rsidP="007528F2" w14:paraId="3A4A049C" w14:textId="4EF5169A">
            <w:pPr>
              <w:ind w:left="-101" w:right="-851"/>
              <w:jc w:val="both"/>
              <w:rPr>
                <w:lang w:val="en-US"/>
              </w:rPr>
            </w:pPr>
            <w:r w:rsidRPr="00C2259E">
              <w:rPr>
                <w:lang w:val="en-US"/>
              </w:rPr>
              <w:t>AMUNDI S&amp;P 500 CLIMATE NET ZERO AMBITION PAB UCITS ETF</w:t>
            </w:r>
          </w:p>
        </w:tc>
        <w:tc>
          <w:tcPr>
            <w:tcW w:w="5103" w:type="dxa"/>
          </w:tcPr>
          <w:p w:rsidR="007528F2" w:rsidP="003F0A0C" w14:paraId="518E4A1E" w14:textId="77777777">
            <w:pPr>
              <w:ind w:right="-851"/>
              <w:rPr>
                <w:lang w:val="it-IT"/>
              </w:rPr>
            </w:pPr>
            <w:r w:rsidRPr="007528F2">
              <w:rPr>
                <w:b/>
                <w:bCs/>
                <w:lang w:val="it-IT"/>
              </w:rPr>
              <w:t>Legal entity identifier</w:t>
            </w:r>
            <w:r w:rsidRPr="007528F2">
              <w:rPr>
                <w:lang w:val="it-IT"/>
              </w:rPr>
              <w:t xml:space="preserve">: </w:t>
            </w:r>
          </w:p>
          <w:p w:rsidR="005E1D0B" w:rsidRPr="007528F2" w:rsidP="003F0A0C" w14:paraId="449F9D0D" w14:textId="7F7518AF">
            <w:pPr>
              <w:ind w:right="-851"/>
              <w:rPr>
                <w:lang w:val="it-IT"/>
              </w:rPr>
            </w:pPr>
            <w:r>
              <w:rPr>
                <w:lang w:val="it-IT"/>
              </w:rPr>
              <w:t xml:space="preserve">        </w:t>
            </w:r>
            <w:bookmarkStart w:id="1" w:name="_GoBack"/>
            <w:bookmarkEnd w:id="1"/>
            <w:r w:rsidRPr="007528F2">
              <w:rPr>
                <w:lang w:val="it-IT"/>
              </w:rPr>
              <w:t>213800M4IYZ2VNKP8986</w:t>
            </w:r>
          </w:p>
        </w:tc>
      </w:tr>
    </w:tbl>
    <w:p w:rsidR="00252E7E" w:rsidRPr="007528F2" w:rsidP="00C15A78" w14:paraId="69DD299F" w14:textId="77777777">
      <w:pPr>
        <w:pStyle w:val="Heading2"/>
        <w:ind w:left="-851" w:right="-851"/>
        <w:jc w:val="both"/>
        <w:rPr>
          <w:color w:val="auto"/>
          <w:lang w:val="it-IT"/>
        </w:rPr>
      </w:pPr>
    </w:p>
    <w:p w:rsidR="00CB6D7C" w:rsidRPr="007528F2" w:rsidP="00C15A78" w14:paraId="6B980FDB" w14:textId="287CC04B">
      <w:pPr>
        <w:ind w:left="-851" w:right="-851"/>
        <w:jc w:val="both"/>
        <w:rPr>
          <w:lang w:val="it-IT"/>
        </w:rPr>
      </w:pPr>
    </w:p>
    <w:p w:rsidR="00432E0E" w:rsidRPr="00C2259E" w:rsidP="00432E0E" w14:paraId="34564DEB" w14:textId="77777777">
      <w:pPr>
        <w:pStyle w:val="Heading2"/>
        <w:jc w:val="both"/>
        <w:rPr>
          <w:b/>
          <w:color w:val="auto"/>
          <w:lang w:val="en-US"/>
        </w:rPr>
      </w:pPr>
      <w:r w:rsidRPr="00C2259E">
        <w:rPr>
          <w:b/>
          <w:color w:val="auto"/>
          <w:lang w:val="en-US"/>
        </w:rPr>
        <w:t xml:space="preserve">No sustainable investment objective </w:t>
      </w:r>
    </w:p>
    <w:p w:rsidR="001478C5" w:rsidRPr="00C2259E" w:rsidP="001478C5" w14:paraId="2BDB30F8" w14:textId="432FCF77">
      <w:pPr>
        <w:jc w:val="both"/>
        <w:rPr>
          <w:lang w:val="en-US"/>
        </w:rPr>
      </w:pPr>
    </w:p>
    <w:p w:rsidR="003A5B9D" w:rsidRPr="00C2259E" w:rsidP="003A5B9D" w14:paraId="2D71726F" w14:textId="58D991C7">
      <w:pPr>
        <w:jc w:val="both"/>
        <w:rPr>
          <w:lang w:val="en-US"/>
        </w:rPr>
      </w:pPr>
      <w:r w:rsidRPr="00C2259E">
        <w:rPr>
          <w:lang w:val="en-US"/>
        </w:rPr>
        <w:t>The Sub-Fund seeks to promote the following environmental and social characteristics:</w:t>
        <w:cr/>
        <w:t>
1) reduction of carbon emission intensity; and</w:t>
        <w:cr/>
        <w:t>
2) reduction in the production of controversial and nuclear weapons; and</w:t>
        <w:cr/>
        <w:t>
3) reduction in environmental harm derived from oil sands, thermal coal and unconventional oil and gas business activities.</w:t>
        <w:cr/>
        <w:t>
</w:t>
        <w:cr/>
        <w:t xml:space="preserve">
The Sub-Fund promotes these environmental and/or social characteristics through replicating the S&amp;P 500 Net Zero 2050 Paris-Aligned ESG Net Total Return Index (the “Index) which meets the minimum standards for EU Paris Aligned Benchmarks (EU PABs) under Regulation (EU) 2019/2089 amending Regulation (EU) 2016/1011.  The Regulation proposes the definitions of minimum standards for the methodology of any ‘EU Paris Aligned’ benchmark indices that would be aligned with the objectives of the Paris Agreement. The Index is selected and weighted to enhance its environmental and social sustainability by applying a range of environmental and social filters to the constituents of the S&amp;P 500 Index (the “Parent Index”) to meet environmental targets and reduce carbon footprint, compared to the Parent Index as described in detail below. The Index methodology align with certain criteria such as: </w:t>
        <w:cr/>
        <w:t xml:space="preserve">
 - A minimum reduction in Greenhouse Gas (GHG) intensity relative to Parent Index of 50%. </w:t>
        <w:cr/>
        <w:t xml:space="preserve">
- A minimum self-decarbonization rate of GHG emissions intensity in accordance with the trajectory implied by Intergovernmental Panel on Climate Change’s (IPCC) most ambitious 1.5ºC scenario, equating to at least 7% GHG intensity reduction on average per annum. </w:t>
        <w:cr/>
        <w:t xml:space="preserve">
 </w:t>
      </w:r>
    </w:p>
    <w:p w:rsidR="003A5B9D" w:rsidRPr="00C2259E" w:rsidP="003A5B9D" w14:paraId="743FD587" w14:textId="1DA089F6">
      <w:pPr>
        <w:jc w:val="both"/>
        <w:rPr>
          <w:lang w:val="en-US"/>
        </w:rPr>
      </w:pPr>
      <w:r w:rsidRPr="00C2259E">
        <w:rPr>
          <w:lang w:val="en-US"/>
        </w:rPr>
        <w:t xml:space="preserve">To ensure sustainable investments do no significant harm (‘DNSH’), Amundi utilises two filters: </w:t>
        <w:cr/>
        <w:t>
</w:t>
        <w:cr/>
        <w:t xml:space="preserve">
The first DNSH test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   </w:t>
        <w:cr/>
        <w:t>
</w:t>
        <w:cr/>
        <w:t xml:space="preserve">
Beyond the specific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rsidR="003A5B9D" w:rsidRPr="00C2259E" w:rsidP="003A5B9D" w14:paraId="4FEF87A4" w14:textId="23F7322A">
      <w:pPr>
        <w:jc w:val="both"/>
        <w:rPr>
          <w:lang w:val="en-US"/>
        </w:rPr>
      </w:pPr>
      <w:r w:rsidRPr="00C2259E">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3A5B9D" w14:paraId="1C36D0D7" w14:textId="73F9A716">
      <w:pPr>
        <w:jc w:val="both"/>
        <w:rPr>
          <w:lang w:val="en-US"/>
        </w:rPr>
      </w:pPr>
      <w:r w:rsidRPr="00C2259E">
        <w:rPr>
          <w:lang w:val="en-US"/>
        </w:rPr>
        <w:t xml:space="preserve">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Amundi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 </w:t>
      </w:r>
    </w:p>
    <w:p w:rsidR="001478C5" w:rsidRPr="00C2259E" w:rsidP="001478C5" w14:paraId="79528FA1" w14:textId="015E14CB">
      <w:pPr>
        <w:jc w:val="both"/>
        <w:rPr>
          <w:lang w:val="en-US"/>
        </w:rPr>
      </w:pPr>
    </w:p>
    <w:p w:rsidR="002571B9" w:rsidRPr="00C2259E" w:rsidP="001478C5" w14:paraId="11506061" w14:textId="77777777">
      <w:pPr>
        <w:jc w:val="both"/>
        <w:rPr>
          <w:lang w:val="en-US"/>
        </w:rPr>
      </w:pPr>
    </w:p>
    <w:p w:rsidR="00432E0E" w:rsidRPr="00C2259E" w:rsidP="00432E0E" w14:paraId="4E690063" w14:textId="77777777">
      <w:pPr>
        <w:pStyle w:val="Heading2"/>
        <w:jc w:val="both"/>
        <w:rPr>
          <w:b/>
          <w:color w:val="auto"/>
          <w:lang w:val="en-US"/>
        </w:rPr>
      </w:pPr>
      <w:r w:rsidRPr="00C2259E">
        <w:rPr>
          <w:b/>
          <w:color w:val="auto"/>
          <w:lang w:val="en-US"/>
        </w:rPr>
        <w:t xml:space="preserve">Environmental or social characteristics of the financial product </w:t>
      </w:r>
    </w:p>
    <w:p w:rsidR="001478C5" w:rsidRPr="00C2259E" w:rsidP="001478C5" w14:paraId="60EE9D4A" w14:textId="77777777">
      <w:pPr>
        <w:jc w:val="both"/>
        <w:rPr>
          <w:lang w:val="en-US"/>
        </w:rPr>
      </w:pPr>
    </w:p>
    <w:p w:rsidR="001478C5" w:rsidRPr="00C2259E" w:rsidP="001478C5" w14:paraId="294EF2E4" w14:textId="34566687">
      <w:pPr>
        <w:jc w:val="both"/>
        <w:rPr>
          <w:lang w:val="en-IE"/>
        </w:rPr>
      </w:pPr>
      <w:r w:rsidRPr="00C2259E">
        <w:rPr>
          <w:lang w:val="en-IE"/>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3A5B9D" w:rsidRPr="00C2259E" w:rsidP="001478C5" w14:paraId="71A818C4" w14:textId="1BEDAE0F">
      <w:pPr>
        <w:jc w:val="both"/>
        <w:rPr>
          <w:lang w:val="en-IE"/>
        </w:rPr>
      </w:pPr>
    </w:p>
    <w:p w:rsidR="002571B9" w:rsidRPr="00C2259E" w:rsidP="001478C5" w14:paraId="083B30B9" w14:textId="77777777">
      <w:pPr>
        <w:jc w:val="both"/>
        <w:rPr>
          <w:lang w:val="en-IE"/>
        </w:rPr>
      </w:pPr>
    </w:p>
    <w:p w:rsidR="00432E0E" w:rsidRPr="00C2259E" w:rsidP="00432E0E" w14:paraId="0A1DBFE8" w14:textId="77777777">
      <w:pPr>
        <w:pStyle w:val="Heading2"/>
        <w:jc w:val="both"/>
        <w:rPr>
          <w:b/>
          <w:color w:val="auto"/>
          <w:lang w:val="en-US"/>
        </w:rPr>
      </w:pPr>
      <w:r w:rsidRPr="00C2259E">
        <w:rPr>
          <w:b/>
          <w:color w:val="auto"/>
          <w:lang w:val="en-US"/>
        </w:rPr>
        <w:t>Investment strategy</w:t>
      </w:r>
    </w:p>
    <w:p w:rsidR="001478C5" w:rsidRPr="00C2259E" w:rsidP="001478C5" w14:paraId="39903DC7" w14:textId="58CAFB3B">
      <w:pPr>
        <w:jc w:val="both"/>
        <w:rPr>
          <w:lang w:val="en-US"/>
        </w:rPr>
      </w:pPr>
    </w:p>
    <w:p w:rsidR="003A5B9D" w:rsidRPr="00C2259E" w:rsidP="003A5B9D" w14:paraId="1E594B80" w14:textId="56301A7B">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1% of Sustainable Investments as per the below chart.</w:t>
        <w:cr/>
        <w:t>
</w:t>
      </w:r>
    </w:p>
    <w:p w:rsidR="00B227D6" w:rsidRPr="00C2259E" w:rsidP="003A5B9D" w14:paraId="2285BA1E" w14:textId="4961C198">
      <w:pPr>
        <w:jc w:val="both"/>
        <w:rPr>
          <w:lang w:val="en-US"/>
        </w:rPr>
      </w:pPr>
      <w:r w:rsidRPr="00C2259E">
        <w:rPr>
          <w:lang w:val="en-US"/>
        </w:rPr>
        <w:t>0.9</w:t>
      </w:r>
    </w:p>
    <w:p w:rsidR="003A5B9D" w:rsidRPr="00C2259E" w:rsidP="003A5B9D" w14:paraId="7E14F327" w14:textId="68DA874E">
      <w:pPr>
        <w:jc w:val="both"/>
        <w:rPr>
          <w:lang w:val="en-US"/>
        </w:rPr>
      </w:pPr>
      <w:r w:rsidRPr="00C2259E">
        <w:rPr>
          <w:lang w:val="en-US"/>
        </w:rPr>
        <w:t xml:space="preserve">Amundi rely on Amundi ESG scoring methodology. Amundi’s ESG scoring is based on a proprietary ESG analysis framework, which accounts for 38 general and sector-specific criteria, including governance criteria. In the Governance dimension, Amundi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  </w:t>
        <w:cr/>
        <w:t>
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cr/>
        <w:t>
Amundi Stewardship Policy (engagement and voting) related to governance complements this approach.</w:t>
      </w:r>
    </w:p>
    <w:p w:rsidR="003A5B9D" w:rsidRPr="00C2259E" w:rsidP="001478C5" w14:paraId="50B13BBB" w14:textId="61C8D051">
      <w:pPr>
        <w:jc w:val="both"/>
        <w:rPr>
          <w:lang w:val="en-US"/>
        </w:rPr>
      </w:pPr>
    </w:p>
    <w:p w:rsidR="002571B9" w:rsidRPr="00C2259E" w:rsidP="001478C5" w14:paraId="6FECAC95" w14:textId="77777777">
      <w:pPr>
        <w:jc w:val="both"/>
        <w:rPr>
          <w:lang w:val="en-US"/>
        </w:rPr>
      </w:pPr>
    </w:p>
    <w:p w:rsidR="00432E0E" w:rsidRPr="00C2259E" w:rsidP="00432E0E" w14:paraId="49690FE1" w14:textId="77777777">
      <w:pPr>
        <w:pStyle w:val="Heading2"/>
        <w:jc w:val="both"/>
        <w:rPr>
          <w:b/>
          <w:color w:val="auto"/>
          <w:lang w:val="en-US"/>
        </w:rPr>
      </w:pPr>
      <w:r w:rsidRPr="00C2259E">
        <w:rPr>
          <w:b/>
          <w:color w:val="auto"/>
          <w:lang w:val="en-US"/>
        </w:rPr>
        <w:t xml:space="preserve">Proportion of investments </w:t>
      </w:r>
    </w:p>
    <w:p w:rsidR="001478C5" w:rsidRPr="00C2259E" w:rsidP="001478C5" w14:paraId="3A37AA28" w14:textId="27A747D4">
      <w:pPr>
        <w:jc w:val="both"/>
        <w:rPr>
          <w:lang w:val="en-US"/>
        </w:rPr>
      </w:pPr>
    </w:p>
    <w:p w:rsidR="001478C5" w:rsidRPr="00C2259E" w:rsidP="001478C5" w14:paraId="3CDD8388" w14:textId="6E408993">
      <w:pPr>
        <w:jc w:val="both"/>
        <w:rPr>
          <w:lang w:val="en-US"/>
        </w:rPr>
      </w:pPr>
      <w:r w:rsidRPr="00C2259E">
        <w:rPr>
          <w:lang w:val="en-US"/>
        </w:rPr>
        <w:t xml:space="preserve"> </w:t>
      </w:r>
    </w:p>
    <w:p w:rsidR="003A5B9D" w:rsidRPr="00C2259E" w:rsidP="001478C5" w14:paraId="5727CE3A" w14:textId="65A5C551">
      <w:pPr>
        <w:jc w:val="both"/>
        <w:rPr>
          <w:lang w:val="en-US"/>
        </w:rPr>
      </w:pPr>
    </w:p>
    <w:p w:rsidR="002571B9" w:rsidRPr="00C2259E" w:rsidP="001478C5" w14:paraId="238F9190" w14:textId="77777777">
      <w:pPr>
        <w:jc w:val="both"/>
        <w:rPr>
          <w:lang w:val="en-US"/>
        </w:rPr>
      </w:pPr>
    </w:p>
    <w:p w:rsidR="001478C5" w:rsidRPr="00C2259E" w:rsidP="00C2259E" w14:paraId="7204154B" w14:textId="0C772728">
      <w:pPr>
        <w:pStyle w:val="Heading2"/>
        <w:jc w:val="both"/>
        <w:rPr>
          <w:b/>
          <w:color w:val="auto"/>
          <w:lang w:val="en-US"/>
        </w:rPr>
      </w:pPr>
      <w:r w:rsidRPr="00C2259E">
        <w:rPr>
          <w:b/>
          <w:color w:val="auto"/>
          <w:lang w:val="en-US"/>
        </w:rPr>
        <w:t>Monitoring of environmental or social characteristics</w:t>
      </w:r>
    </w:p>
    <w:p w:rsidR="002571B9" w:rsidRPr="00C2259E" w:rsidP="001478C5" w14:paraId="095433B0" w14:textId="77777777">
      <w:pPr>
        <w:jc w:val="both"/>
        <w:rPr>
          <w:lang w:val="en-US"/>
        </w:rPr>
      </w:pPr>
    </w:p>
    <w:p w:rsidR="001478C5" w:rsidRPr="00C2259E" w:rsidP="001478C5" w14:paraId="7C0F0BA3" w14:textId="1D8819D8">
      <w:pPr>
        <w:jc w:val="both"/>
        <w:rPr>
          <w:lang w:val="en-US"/>
        </w:rPr>
      </w:pPr>
      <w:r w:rsidRPr="00C2259E">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rsidR="003A5B9D" w:rsidRPr="00C2259E" w:rsidP="001478C5" w14:paraId="1B2ABE81" w14:textId="7E4F8D99">
      <w:pPr>
        <w:jc w:val="both"/>
        <w:rPr>
          <w:lang w:val="en-US"/>
        </w:rPr>
      </w:pPr>
    </w:p>
    <w:p w:rsidR="002571B9" w:rsidRPr="00C2259E" w:rsidP="001478C5" w14:paraId="4CF81C4B" w14:textId="77777777">
      <w:pPr>
        <w:jc w:val="both"/>
        <w:rPr>
          <w:lang w:val="en-US"/>
        </w:rPr>
      </w:pPr>
    </w:p>
    <w:p w:rsidR="00432E0E" w:rsidRPr="00C2259E" w:rsidP="00432E0E" w14:paraId="3DF7BFE2" w14:textId="77777777">
      <w:pPr>
        <w:pStyle w:val="Heading2"/>
        <w:jc w:val="both"/>
        <w:rPr>
          <w:b/>
          <w:color w:val="auto"/>
          <w:lang w:val="en-US"/>
        </w:rPr>
      </w:pPr>
      <w:r w:rsidRPr="00C2259E">
        <w:rPr>
          <w:b/>
          <w:color w:val="auto"/>
          <w:lang w:val="en-US"/>
        </w:rPr>
        <w:t>Methodologies</w:t>
      </w:r>
    </w:p>
    <w:p w:rsidR="001478C5" w:rsidRPr="00C2259E" w:rsidP="001478C5" w14:paraId="3B98F03A" w14:textId="77777777">
      <w:pPr>
        <w:jc w:val="both"/>
        <w:rPr>
          <w:lang w:val="en-US"/>
        </w:rPr>
      </w:pPr>
    </w:p>
    <w:p w:rsidR="001478C5" w:rsidRPr="00C2259E" w:rsidP="001478C5" w14:paraId="06AF9C46" w14:textId="03E0E1C2">
      <w:pPr>
        <w:jc w:val="both"/>
        <w:rPr>
          <w:lang w:val="en-US"/>
        </w:rPr>
      </w:pPr>
      <w:r w:rsidRPr="00C2259E">
        <w:rPr>
          <w:lang w:val="en-US"/>
        </w:rPr>
        <w:t xml:space="preserve">While the Sub-Fund does not have sustainable investment as its objective, it will invest a minimum proportion of its assets in sustainable investments as defined by Article 2 (17) SFDR, such as investment in investee companies that seek to meet two criteria: </w:t>
        <w:cr/>
        <w:t>
</w:t>
        <w:cr/>
        <w:t xml:space="preserve">
1) follow best environmental and social practices; and  </w:t>
        <w:cr/>
        <w:t>
2) avoid making products or providing services that harm the environment and society.</w:t>
        <w:cr/>
        <w:t>
</w:t>
        <w:cr/>
        <w:t>
In order for the investee company to be deemed to contribute to the above objective it must be a “best performer” within its sector of activity on at least one of its material environmental or social factors.  The definition of “best performer” relies on Amundi’s proprietary ESG methodology which aims to measure the ESG performance of an investee company. In order to be considered a “best performer”, an investee company must perform with the best top three rating (A, B or C, out of a rating scale going from A to G) within its sector on at least one material environmental or social factor. Material environmental and social factors are identified at a sector level. The identification of material factors is based on Amundi ESG analysis framework which combines extra-financial data and qualitative analysis of associated sector and sustainability themes.  Factors identified as material result in a contribution of more than 10% to the overall ESG score. For energy sector for example, material factors are: emissions and energy, biodiversity and pollution, health and security, local communities and human rights. For a more complete overview  please refer to the Amundi Global Responsible Investment Policy available at https://about.amundi.com/.</w:t>
        <w:cr/>
        <w:t>
</w:t>
        <w:cr/>
        <w:t>
 Additionally, investee companies should not have significant exposure to activities (e.g. tobacco, weapons, gambling, coal, aviation, meat production, fertilizer and pesticide manufacturing, single-use plastic production). For a more complete overview of sectors and factors, please refer to the Amundi Sustainable Finance Disclosure Regulation Statement available at https://about.amundi.com/esg-documentation</w:t>
        <w:cr/>
        <w:t xml:space="preserve">
The sustainable nature of an investment is assessed at investee company level. By applying  Amundi’s above described Sustainable Investment definition to the Index constituents of this passively managed ETF Product, Amundi has determined that this product has the minimum proportion of sustainable investments stated on page 1 above. However, please note that Amundi Sustainable Investment definition is not implemented at the Index methodology level. </w:t>
      </w:r>
    </w:p>
    <w:p w:rsidR="00432E0E" w:rsidRPr="00C2259E" w:rsidP="001478C5" w14:paraId="65418A25" w14:textId="656250DF">
      <w:pPr>
        <w:jc w:val="both"/>
        <w:rPr>
          <w:lang w:val="en-US"/>
        </w:rPr>
      </w:pPr>
    </w:p>
    <w:p w:rsidR="002571B9" w:rsidRPr="00C2259E" w:rsidP="001478C5" w14:paraId="07C55CDF" w14:textId="77777777">
      <w:pPr>
        <w:jc w:val="both"/>
        <w:rPr>
          <w:lang w:val="en-US"/>
        </w:rPr>
      </w:pPr>
    </w:p>
    <w:p w:rsidR="001478C5" w:rsidRPr="00C2259E" w:rsidP="00432E0E" w14:paraId="506F6D63" w14:textId="02D0B5D0">
      <w:pPr>
        <w:pStyle w:val="Heading2"/>
        <w:jc w:val="both"/>
        <w:rPr>
          <w:b/>
          <w:color w:val="auto"/>
          <w:lang w:val="en-US"/>
        </w:rPr>
      </w:pPr>
      <w:r w:rsidRPr="00C2259E">
        <w:rPr>
          <w:b/>
          <w:color w:val="auto"/>
          <w:lang w:val="en-US"/>
        </w:rPr>
        <w:t>Data sources and processing</w:t>
      </w:r>
    </w:p>
    <w:p w:rsidR="00432E0E" w:rsidRPr="00C2259E" w:rsidP="00432E0E" w14:paraId="1BDB94F4" w14:textId="77777777">
      <w:pPr>
        <w:rPr>
          <w:lang w:val="en-US"/>
        </w:rPr>
      </w:pPr>
    </w:p>
    <w:p w:rsidR="003A5B9D" w:rsidRPr="007528F2" w:rsidP="003A5B9D" w14:paraId="3901A387" w14:textId="101B3968">
      <w:pPr>
        <w:jc w:val="both"/>
        <w:rPr>
          <w:lang w:val="it-IT"/>
        </w:rPr>
      </w:pPr>
      <w:r w:rsidRPr="007528F2">
        <w:rPr>
          <w:lang w:val="it-IT"/>
        </w:rPr>
        <w:t xml:space="preserve">Amundi's ESG scores are built using Amundi's ESG analysis framework and scoring methodology. We source data from the following sources for ESG scores:  Moody, ISS-Oekem, MSCI, and Sustainalytics. </w:t>
      </w:r>
    </w:p>
    <w:p w:rsidR="003A5B9D" w:rsidRPr="007528F2" w:rsidP="003A5B9D" w14:paraId="0EEB5002" w14:textId="7F75FAA8">
      <w:pPr>
        <w:jc w:val="both"/>
        <w:rPr>
          <w:lang w:val="it-IT"/>
        </w:rPr>
      </w:pPr>
      <w:r w:rsidRPr="007528F2">
        <w:rPr>
          <w:lang w:val="it-IT"/>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rsidR="003A5B9D" w:rsidRPr="007528F2" w:rsidP="003A5B9D" w14:paraId="746907A8" w14:textId="6C1E01DB">
      <w:pPr>
        <w:jc w:val="both"/>
        <w:rPr>
          <w:lang w:val="it-IT"/>
        </w:rPr>
      </w:pPr>
      <w:r w:rsidRPr="007528F2">
        <w:rPr>
          <w:lang w:val="it-IT"/>
        </w:rPr>
        <w:t>External data are collected and controlled by the Global Data Management team and are plugged into the SRI module.</w:t>
        <w:cr/>
        <w:t>
</w:t>
        <w:cr/>
        <w:t>
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w:t>
        <w:cr/>
        <w:t>
</w:t>
        <w:cr/>
        <w:t xml:space="preserve">
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cr/>
        <w:t>
</w:t>
        <w:cr/>
        <w:t>
Data is then disseminated via Alto front office to portfolio managers and is monitored by the risk team.</w:t>
      </w:r>
    </w:p>
    <w:p w:rsidR="001478C5" w:rsidRPr="007528F2" w:rsidP="003A5B9D" w14:paraId="5DC44940" w14:textId="56F65D77">
      <w:pPr>
        <w:jc w:val="both"/>
        <w:rPr>
          <w:lang w:val="it-IT"/>
        </w:rPr>
      </w:pPr>
      <w:r w:rsidRPr="007528F2">
        <w:rPr>
          <w:lang w:val="it-IT"/>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rsidR="00E72F77" w:rsidRPr="007528F2" w:rsidP="003A5B9D" w14:paraId="0D3A09BD" w14:textId="39889308">
      <w:pPr>
        <w:jc w:val="both"/>
        <w:rPr>
          <w:lang w:val="it-IT"/>
        </w:rPr>
      </w:pPr>
    </w:p>
    <w:p w:rsidR="002571B9" w:rsidRPr="007528F2" w:rsidP="003A5B9D" w14:paraId="477D6057" w14:textId="77777777">
      <w:pPr>
        <w:jc w:val="both"/>
        <w:rPr>
          <w:lang w:val="it-IT"/>
        </w:rPr>
      </w:pPr>
    </w:p>
    <w:p w:rsidR="001478C5" w:rsidRPr="00C2259E" w:rsidP="001478C5" w14:paraId="4E3B17BB" w14:textId="5B512753">
      <w:pPr>
        <w:pStyle w:val="Heading2"/>
        <w:jc w:val="both"/>
        <w:rPr>
          <w:color w:val="auto"/>
          <w:lang w:val="en-US"/>
        </w:rPr>
      </w:pPr>
      <w:r w:rsidRPr="00C2259E">
        <w:rPr>
          <w:b/>
          <w:color w:val="auto"/>
          <w:lang w:val="en-US"/>
        </w:rPr>
        <w:t>Limitations to methodologies and data</w:t>
      </w:r>
    </w:p>
    <w:p w:rsidR="001478C5" w:rsidRPr="00C2259E" w:rsidP="001478C5" w14:paraId="4C0A47F6" w14:textId="77777777">
      <w:pPr>
        <w:jc w:val="both"/>
        <w:rPr>
          <w:lang w:val="en-US"/>
        </w:rPr>
      </w:pPr>
    </w:p>
    <w:p w:rsidR="003A5B9D" w:rsidRPr="00C2259E" w:rsidP="003A5B9D" w14:paraId="30ABD22B" w14:textId="20F49479">
      <w:pPr>
        <w:jc w:val="both"/>
        <w:rPr>
          <w:lang w:val="en-US"/>
        </w:rPr>
      </w:pPr>
      <w:r w:rsidRPr="00C2259E">
        <w:rPr>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rsidR="001478C5" w:rsidRPr="007528F2" w:rsidP="003A5B9D" w14:paraId="4DF43527" w14:textId="6A73D85E">
      <w:pPr>
        <w:jc w:val="both"/>
      </w:pPr>
      <w:r w:rsidRPr="007528F2">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rsidR="003A5B9D" w:rsidRPr="007528F2" w:rsidP="003A5B9D" w14:paraId="79407EEA" w14:textId="2FE5B98E">
      <w:pPr>
        <w:jc w:val="both"/>
      </w:pPr>
    </w:p>
    <w:p w:rsidR="002571B9" w:rsidRPr="007528F2" w:rsidP="003A5B9D" w14:paraId="1B0C4F29" w14:textId="77777777">
      <w:pPr>
        <w:jc w:val="both"/>
      </w:pPr>
    </w:p>
    <w:p w:rsidR="001478C5" w:rsidRPr="00EC10E8" w:rsidP="00C2259E" w14:paraId="72B0FC1D" w14:textId="424591D0">
      <w:pPr>
        <w:pStyle w:val="Heading2"/>
        <w:jc w:val="both"/>
        <w:rPr>
          <w:b/>
          <w:color w:val="auto"/>
        </w:rPr>
      </w:pPr>
      <w:r w:rsidRPr="00EC10E8">
        <w:rPr>
          <w:b/>
          <w:color w:val="auto"/>
        </w:rPr>
        <w:t>Due diligence</w:t>
      </w:r>
    </w:p>
    <w:p w:rsidR="002571B9" w:rsidRPr="00C2259E" w:rsidP="001478C5" w14:paraId="01F7C211" w14:textId="77777777">
      <w:pPr>
        <w:jc w:val="both"/>
      </w:pPr>
    </w:p>
    <w:p w:rsidR="001478C5" w:rsidRPr="00C2259E" w:rsidP="001478C5" w14:paraId="0AC4C75F" w14:textId="3D966EB7">
      <w:pPr>
        <w:jc w:val="both"/>
      </w:pPr>
      <w:r w:rsidRPr="00C2259E">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cr/>
        <w:t>
</w:t>
        <w:cr/>
        <w:t>
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rsidR="003A5B9D" w:rsidRPr="00C2259E" w:rsidP="001478C5" w14:paraId="4F222CCF" w14:textId="18DCB010">
      <w:pPr>
        <w:jc w:val="both"/>
      </w:pPr>
    </w:p>
    <w:p w:rsidR="002571B9" w:rsidRPr="00C2259E" w:rsidP="001478C5" w14:paraId="655B1DE5" w14:textId="77777777">
      <w:pPr>
        <w:jc w:val="both"/>
      </w:pPr>
    </w:p>
    <w:p w:rsidR="001478C5" w:rsidRPr="00EC10E8" w:rsidP="00C2259E" w14:paraId="257F6900" w14:textId="2ABBAECF">
      <w:pPr>
        <w:pStyle w:val="Heading2"/>
        <w:jc w:val="both"/>
        <w:rPr>
          <w:b/>
          <w:color w:val="auto"/>
        </w:rPr>
      </w:pPr>
      <w:r w:rsidRPr="00EC10E8">
        <w:rPr>
          <w:b/>
          <w:color w:val="auto"/>
        </w:rPr>
        <w:t>Engagement policies</w:t>
      </w:r>
    </w:p>
    <w:p w:rsidR="00E77637" w:rsidRPr="00C2259E" w:rsidP="001478C5" w14:paraId="7D2DFAA9" w14:textId="77777777">
      <w:pPr>
        <w:jc w:val="both"/>
        <w:rPr>
          <w:rFonts w:asciiTheme="majorHAnsi" w:eastAsiaTheme="majorEastAsia" w:hAnsiTheme="majorHAnsi" w:cstheme="majorBidi"/>
          <w:bCs/>
        </w:rPr>
      </w:pPr>
    </w:p>
    <w:p w:rsidR="001478C5" w:rsidRPr="007528F2" w:rsidP="001478C5" w14:paraId="2E3D9F8E" w14:textId="0D3716E3">
      <w:pPr>
        <w:jc w:val="both"/>
      </w:pPr>
      <w:r w:rsidRPr="007528F2">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rsidR="00D908C4" w:rsidRPr="007528F2" w:rsidP="001478C5" w14:paraId="1575B232" w14:textId="7396C0FD">
      <w:pPr>
        <w:jc w:val="both"/>
      </w:pPr>
    </w:p>
    <w:p w:rsidR="002571B9" w:rsidRPr="007528F2" w:rsidP="001478C5" w14:paraId="7976B234" w14:textId="77777777">
      <w:pPr>
        <w:jc w:val="both"/>
      </w:pPr>
    </w:p>
    <w:p w:rsidR="001478C5" w:rsidRPr="00C2259E" w:rsidP="001478C5" w14:paraId="75B7F50F" w14:textId="0ED8ED2B">
      <w:pPr>
        <w:pStyle w:val="Heading2"/>
        <w:jc w:val="both"/>
        <w:rPr>
          <w:color w:val="auto"/>
          <w:lang w:val="en-US"/>
        </w:rPr>
      </w:pPr>
      <w:r w:rsidRPr="00C2259E">
        <w:rPr>
          <w:b/>
          <w:color w:val="auto"/>
          <w:lang w:val="en-US"/>
        </w:rPr>
        <w:t>Designated reference benchmark</w:t>
      </w:r>
    </w:p>
    <w:p w:rsidR="001478C5" w:rsidRPr="00C2259E" w:rsidP="001478C5" w14:paraId="2D413A36" w14:textId="63C75B42">
      <w:pPr>
        <w:jc w:val="both"/>
        <w:rPr>
          <w:lang w:val="en-US"/>
        </w:rPr>
      </w:pPr>
    </w:p>
    <w:p w:rsidR="005804D7" w:rsidRPr="00C2259E" w:rsidP="005804D7" w14:paraId="70F9F637" w14:textId="0346B41D">
      <w:pPr>
        <w:jc w:val="both"/>
        <w:rPr>
          <w:lang w:val="en-US"/>
        </w:rPr>
      </w:pPr>
      <w:r w:rsidRPr="00C2259E">
        <w:rPr>
          <w:lang w:val="en-US"/>
        </w:rPr>
        <w:t>Additional information on the Index can be found at www.spdji.com</w:t>
      </w:r>
    </w:p>
    <w:p w:rsidR="005804D7" w:rsidRPr="00C2259E" w:rsidP="005804D7" w14:paraId="406799B6" w14:textId="4A786093">
      <w:pPr>
        <w:jc w:val="both"/>
        <w:rPr>
          <w:lang w:val="en-US"/>
        </w:rPr>
      </w:pPr>
      <w:r w:rsidRPr="00C2259E">
        <w:rPr>
          <w:lang w:val="en-US"/>
        </w:rPr>
        <w:t>Additional information on the Sub-Fund can be found at www.amundietf.com.</w:t>
      </w:r>
    </w:p>
    <w:p w:rsidR="005804D7" w:rsidRPr="00C2259E" w:rsidP="005804D7" w14:paraId="6180AD29" w14:textId="348CB230">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1% of Sustainable Investments as per the below chart.</w:t>
        <w:cr/>
        <w:t>
</w:t>
      </w:r>
    </w:p>
    <w:p w:rsidR="005804D7" w:rsidRPr="00C2259E" w:rsidP="005804D7" w14:paraId="7204E145" w14:textId="599F5E50">
      <w:pPr>
        <w:jc w:val="both"/>
        <w:rPr>
          <w:lang w:val="en-US"/>
        </w:rPr>
      </w:pPr>
      <w:r w:rsidRPr="00C2259E">
        <w:rPr>
          <w:lang w:val="en-US"/>
        </w:rPr>
        <w:t>Additional information on the Index can be found at www.spdji.com</w:t>
      </w:r>
    </w:p>
    <w:p w:rsidR="002571B9" w:rsidRPr="00C2259E" w:rsidP="005804D7" w14:paraId="51F212C8" w14:textId="4EC755D3">
      <w:pPr>
        <w:jc w:val="both"/>
        <w:rPr>
          <w:lang w:val="en-US"/>
        </w:rPr>
      </w:pPr>
    </w:p>
    <w:p w:rsidR="002571B9" w:rsidRPr="00C2259E" w:rsidP="005804D7" w14:paraId="50347151" w14:textId="77777777">
      <w:pPr>
        <w:jc w:val="both"/>
        <w:rPr>
          <w:lang w:val="en-US"/>
        </w:rPr>
      </w:pPr>
    </w:p>
    <w:p w:rsidR="001478C5" w:rsidRPr="00C2259E" w:rsidP="00C15A78" w14:paraId="1E937640" w14:textId="77777777">
      <w:pPr>
        <w:ind w:left="-851" w:right="-851"/>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1478C5"/>
    <w:rsid w:val="001510FB"/>
    <w:rsid w:val="001A4E68"/>
    <w:rsid w:val="001B13EB"/>
    <w:rsid w:val="002473A3"/>
    <w:rsid w:val="00252E7E"/>
    <w:rsid w:val="002571B9"/>
    <w:rsid w:val="0033164A"/>
    <w:rsid w:val="003A5B9D"/>
    <w:rsid w:val="003C68FA"/>
    <w:rsid w:val="003F0A0C"/>
    <w:rsid w:val="0041713B"/>
    <w:rsid w:val="00432E0E"/>
    <w:rsid w:val="005324D2"/>
    <w:rsid w:val="005804D7"/>
    <w:rsid w:val="005E1D0B"/>
    <w:rsid w:val="00613FBC"/>
    <w:rsid w:val="006C2A16"/>
    <w:rsid w:val="007528F2"/>
    <w:rsid w:val="00774DA0"/>
    <w:rsid w:val="007871A0"/>
    <w:rsid w:val="007C5B2B"/>
    <w:rsid w:val="009D31E9"/>
    <w:rsid w:val="00A70259"/>
    <w:rsid w:val="00B227D6"/>
    <w:rsid w:val="00B363AE"/>
    <w:rsid w:val="00C15A78"/>
    <w:rsid w:val="00C2259E"/>
    <w:rsid w:val="00C348D9"/>
    <w:rsid w:val="00CB6D7C"/>
    <w:rsid w:val="00D908C4"/>
    <w:rsid w:val="00DA1CE3"/>
    <w:rsid w:val="00E72F77"/>
    <w:rsid w:val="00E7432D"/>
    <w:rsid w:val="00E77637"/>
    <w:rsid w:val="00EC10E8"/>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68"/>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17</cp:revision>
  <dcterms:created xsi:type="dcterms:W3CDTF">2022-11-23T07:47:00Z</dcterms:created>
  <dcterms:modified xsi:type="dcterms:W3CDTF">2022-12-30T14:59:00Z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