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NORTH AMERICA ESG CLIMATE NET ZERO AMBITION CTB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213800Q86MRUAJDQ7296</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w:t>
        <w:cr/>
        <w:t>
1)</w:t>
        <w:tab/>
        <w:t xml:space="preserve">reduction of carbon emission intensity; </w:t>
        <w:cr/>
        <w:t>
2)</w:t>
        <w:tab/>
        <w:t>reduction in greenhouse gas emissions;</w:t>
        <w:cr/>
        <w:t>
3)</w:t>
        <w:tab/>
        <w:t>reduction in the production of controversial and nuclear weapons; and</w:t>
        <w:cr/>
        <w:t>
4)</w:t>
        <w:tab/>
        <w:t xml:space="preserve">reduction in environmental harm derived from oil sands, thermal coal and unconventional oil and gas business activities. </w:t>
        <w:cr/>
        <w:t>
</w:t>
        <w:cr/>
        <w:t xml:space="preserve">
The Sub-Fund promotes these environmental and social characteristics through replicating the MSCI North America ESG Broad CTB Select Index (the “Index”) which meets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MSCI North America Index (the “Parent Index”) to meet environmental targets and reduce carbon footprint, compared to the Parent Index as described in detail below. The Index methodology align with certain criteria such as:  </w:t>
        <w:cr/>
        <w:t xml:space="preserve">
- a minimum reduction in Greenhouse Gas (GHG) intensity relative to Parent Index of 30%; and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